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4"/>
        <w:spacing w:before="0" w:after="0" w:beforeAutospacing="0" w:afterAutospacing="0"/>
        <w:jc w:val="center"/>
        <w:rPr>
          <w:sz w:val="32"/>
        </w:rPr>
      </w:pPr>
      <w:r>
        <w:rPr>
          <w:sz w:val="32"/>
        </w:rPr>
        <w:t>Linee guida per la creazione delle etichette</w:t>
      </w:r>
    </w:p>
    <w:p>
      <w:pPr>
        <w:pStyle w:val="P5"/>
        <w:spacing w:before="0" w:after="0" w:beforeAutospacing="0" w:afterAutospacing="0"/>
        <w:jc w:val="center"/>
      </w:pPr>
      <w:r>
        <w:t>Per l´imballaggio superiore a 3 litri, ma non superiore a 50 litri</w:t>
      </w:r>
    </w:p>
    <w:p>
      <w:pPr>
        <w:pStyle w:val="P5"/>
        <w:spacing w:before="0" w:after="0" w:beforeAutospacing="0" w:afterAutospacing="0"/>
        <w:jc w:val="center"/>
        <w:rPr>
          <w:b w:val="1"/>
          <w:sz w:val="28"/>
        </w:rPr>
      </w:pPr>
      <w:r>
        <w:rPr>
          <w:b w:val="1"/>
          <w:bCs w:val="1"/>
          <w:sz w:val="34"/>
          <w:szCs w:val="34"/>
        </w:rPr>
        <w:t>Lavapavimenti BLU MARINO</w:t>
      </w:r>
    </w:p>
    <w:p>
      <w:pPr>
        <w:spacing w:before="0" w:after="0" w:beforeAutospacing="0" w:afterAutospacing="0"/>
      </w:pPr>
      <w:r>
        <w:t> </w:t>
      </w:r>
    </w:p>
    <w:p>
      <w:pPr>
        <w:pStyle w:val="P4"/>
        <w:spacing w:before="0" w:after="0" w:beforeAutospacing="0" w:afterAutospacing="0"/>
        <w:jc w:val="center"/>
        <w:rPr>
          <w:noProof w:val="1"/>
          <w:sz w:val="14"/>
          <w:szCs w:val="14"/>
          <w:lang w:eastAsia="cs-CZ"/>
        </w:rPr>
      </w:pPr>
      <w:r>
        <w:rPr>
          <w:b w:val="1"/>
        </w:rPr>
        <w:t>Testo dell´etichetta</w:t>
      </w:r>
    </w:p>
    <w:p>
      <w:pPr>
        <w:spacing w:before="0" w:after="0" w:beforeAutospacing="0" w:afterAutospacing="0"/>
        <w:rPr>
          <w:sz w:val="14"/>
          <w:szCs w:val="14"/>
        </w:rPr>
      </w:pPr>
      <w:r>
        <w:rPr>
          <w:noProof w:val="1"/>
          <w:sz w:val="14"/>
          <w:szCs w:val="14"/>
          <w:lang w:eastAsia="cs-CZ"/>
        </w:rPr>
        <w:drawing>
          <wp:inline xmlns:wp="http://schemas.openxmlformats.org/drawingml/2006/wordprocessingDrawing" distT="0" distB="0" distL="0" distR="0">
            <wp:extent cx="511175" cy="511175"/>
            <wp:effectExtent l="0" t="0" r="3175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HS02.png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511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0" w:beforeAutospacing="0" w:afterAutospacing="0"/>
      </w:pPr>
      <w:r>
        <w:rPr>
          <w:b w:val="1"/>
          <w:bCs w:val="1"/>
          <w:sz w:val="28"/>
          <w:szCs w:val="28"/>
        </w:rPr>
        <w:t>Lavapavimenti BLU MARINO</w:t>
      </w:r>
    </w:p>
    <w:p>
      <w:pPr>
        <w:spacing w:before="0" w:after="0" w:beforeAutospacing="0" w:afterAutospacing="0"/>
      </w:pPr>
      <w:r>
        <w:rPr>
          <w:b w:val="1"/>
          <w:bCs w:val="1"/>
        </w:rPr>
        <w:t>Attenzione</w:t>
      </w:r>
    </w:p>
    <w:p>
      <w:pPr>
        <w:spacing w:before="0" w:after="0" w:beforeAutospacing="0" w:afterAutospacing="0"/>
      </w:pPr>
      <w:r>
        <w:t>Contiene: massa di reazione di 5-cloro-2-metil-2H-isotiazol-3-one e 2-metil-2H-isotiazol-3-one (3:1)</w:t>
      </w:r>
    </w:p>
    <w:p>
      <w:pPr>
        <w:spacing w:before="0" w:after="0" w:beforeAutospacing="0" w:afterAutospacing="0"/>
      </w:pPr>
      <w:r>
        <w:t>Può provocare una reazione allergica cutanea.</w:t>
      </w:r>
    </w:p>
    <w:p>
      <w:pPr>
        <w:spacing w:before="0" w:after="0" w:beforeAutospacing="0" w:afterAutospacing="0"/>
      </w:pPr>
      <w:r>
        <w:t>In caso di consultazione di un medico, tenere a disposizione il contenitore o l'etichetta del prodotto. Tenere fuori dalla portata dei bambini. Indossare guanti. In caso di irritazione o eruzione della pelle, consultare un medico. Togliere tutti gli indumenti contaminati e lavarli prima di indossarli nuovamente. Smaltire il prodotto/recipiente con la consegna a una persona autorizzata per lo smaltimento dei rifiuti o con la restituzione al fornitore.</w:t>
      </w:r>
    </w:p>
    <w:p>
      <w:pPr>
        <w:spacing w:before="0" w:after="0" w:beforeAutospacing="0" w:afterAutospacing="0"/>
      </w:pPr>
      <w:r>
        <w:t>Composizione chimica a norma del regolamento (CE) n. 648/2004, come modificato: &lt;5 % tensioattivi non ionici, profumo</w:t>
      </w:r>
    </w:p>
    <w:p>
      <w:pPr>
        <w:spacing w:before="0" w:after="0" w:beforeAutospacing="0" w:afterAutospacing="0"/>
      </w:pPr>
      <w:r>
        <w:t>Fabbricante: VIGOR s.r.l., Via Augusto D’Andrea, 8 , Nettuno, 00048, Italia, telefono: +39069851512</w:t>
      </w:r>
    </w:p>
    <w:p>
      <w:pPr>
        <w:spacing w:before="0" w:after="0" w:beforeAutospacing="0" w:afterAutospacing="0"/>
        <w:rPr>
          <w:b w:val="1"/>
        </w:rPr>
      </w:pPr>
      <w:r>
        <w:t>UFI: YS54-T103-700V-85YR</w:t>
      </w:r>
    </w:p>
    <w:p>
      <w:pPr>
        <w:pStyle w:val="P4"/>
        <w:spacing w:before="0" w:after="0" w:beforeAutospacing="0" w:afterAutospacing="0"/>
        <w:jc w:val="center"/>
      </w:pPr>
      <w:r>
        <w:rPr>
          <w:b w:val="1"/>
        </w:rPr>
        <w:t>Dimensioni per l´imbalalggio superiore a 3 litri, ma non superiore a 50 litri</w:t>
      </w:r>
    </w:p>
    <w:p>
      <w:pPr>
        <w:spacing w:before="0" w:after="0" w:beforeAutospacing="0" w:afterAutospacing="0"/>
      </w:pPr>
      <w:r>
        <w:t>dimensione dell´etichetta min 74 x 105 mm</w:t>
      </w:r>
    </w:p>
    <w:p>
      <w:pPr>
        <w:spacing w:before="0" w:after="0" w:beforeAutospacing="0" w:afterAutospacing="0"/>
      </w:pPr>
      <w:r>
        <w:t>dimensione del simbolo almeno 23 x 23 mm</w:t>
      </w:r>
    </w:p>
    <w:p>
      <w:pPr>
        <w:spacing w:before="0" w:after="0" w:beforeAutospacing="0" w:afterAutospacing="0"/>
      </w:pPr>
      <w:r>
        <w:t>Ogni pittogramma di pericolo copre almeno un quindicesimo della superficie minima dell’etichetta contenente le informazioni di cui all’articolo 17 Regolamento (CE) n. 1272/2008.</w:t>
      </w:r>
    </w:p>
    <w:p>
      <w:pPr>
        <w:spacing w:before="0" w:after="0" w:beforeAutospacing="0" w:afterAutospacing="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footnotePr/>
      <w:type w:val="nextPage"/>
      <w:pgSz w:w="11906" w:h="16838" w:code="0"/>
      <w:pgMar w:left="1134" w:right="1134" w:top="1134" w:bottom="1134" w:header="709" w:footer="70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8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7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240" w:after="0" w:beforeAutospacing="0" w:afterAutospacing="0"/>
      <w:outlineLvl w:val="0"/>
    </w:pPr>
    <w:rPr>
      <w:rFonts w:asciiTheme="majorHAnsi" w:hAnsiTheme="majorHAnsi" w:cstheme="majorBidi" w:eastAsiaTheme="majorEastAsia"/>
      <w:color w:val="2E75B5" w:themeColor="accent1" w:themeShade="BF"/>
      <w:sz w:val="32"/>
      <w:szCs w:val="32"/>
    </w:rPr>
  </w:style>
  <w:style w:type="paragraph" w:styleId="P2">
    <w:name w:val="Heading 2"/>
    <w:basedOn w:val="P0"/>
    <w:next w:val="P0"/>
    <w:link w:val="C3"/>
    <w:qFormat/>
    <w:pPr>
      <w:keepNext w:val="1"/>
      <w:keepLines w:val="1"/>
      <w:spacing w:before="40" w:after="0" w:beforeAutospacing="0" w:afterAutospacing="0"/>
      <w:outlineLvl w:val="1"/>
    </w:pPr>
    <w:rPr>
      <w:rFonts w:asciiTheme="majorHAnsi" w:hAnsiTheme="majorHAnsi" w:cstheme="majorBidi" w:eastAsiaTheme="majorEastAsia"/>
      <w:color w:val="2E75B5" w:themeColor="accent1" w:themeShade="BF"/>
      <w:sz w:val="26"/>
      <w:szCs w:val="26"/>
    </w:rPr>
  </w:style>
  <w:style w:type="paragraph" w:styleId="P3">
    <w:name w:val="Title"/>
    <w:basedOn w:val="P0"/>
    <w:next w:val="P0"/>
    <w:link w:val="C5"/>
    <w:qFormat/>
    <w:pPr>
      <w:spacing w:lineRule="auto" w:line="240" w:after="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4">
    <w:name w:val="nadpis 1"/>
    <w:basedOn w:val="P0"/>
    <w:next w:val="P0"/>
    <w:link w:val="C6"/>
    <w:qFormat/>
    <w:pPr>
      <w:keepNext w:val="1"/>
      <w:keepLines w:val="1"/>
      <w:pBdr>
        <w:top w:val="single" w:sz="4" w:space="3" w:shadow="0" w:frame="0" w:color="000000" w:themeColor="text1"/>
        <w:left w:val="single" w:sz="4" w:space="4" w:shadow="0" w:frame="0" w:color="000000" w:themeColor="text1"/>
        <w:bottom w:val="single" w:sz="4" w:space="3" w:shadow="0" w:frame="0" w:color="000000" w:themeColor="text1"/>
        <w:right w:val="single" w:sz="4" w:space="4" w:shadow="0" w:frame="0" w:color="000000" w:themeColor="text1"/>
        <w:between w:val="none" w:sz="0" w:space="0" w:shadow="0" w:frame="0" w:color="auto"/>
      </w:pBdr>
      <w:shd w:val="clear" w:fill="D3D3D3"/>
      <w:spacing w:lineRule="auto" w:line="240" w:before="600" w:after="240" w:beforeAutospacing="0" w:afterAutospacing="0"/>
      <w:outlineLvl w:val="0"/>
    </w:pPr>
    <w:rPr>
      <w:rFonts w:asciiTheme="majorHAnsi" w:hAnsiTheme="majorHAnsi" w:cstheme="majorBidi" w:eastAsiaTheme="majorEastAsia"/>
      <w:caps w:val="1"/>
      <w:kern w:val="20"/>
      <w:lang w:eastAsia="cs-CZ"/>
    </w:rPr>
  </w:style>
  <w:style w:type="paragraph" w:styleId="P5">
    <w:name w:val="Frame"/>
    <w:basedOn w:val="P2"/>
    <w:link w:val="C7"/>
    <w:qFormat/>
    <w:pPr>
      <w:pBdr>
        <w:top w:val="single" w:sz="4" w:space="1" w:shadow="0" w:frame="0" w:color="auto"/>
        <w:left w:val="single" w:sz="4" w:space="4" w:shadow="0" w:frame="0" w:color="auto"/>
        <w:bottom w:val="single" w:sz="4" w:space="1" w:shadow="0" w:frame="0" w:color="auto"/>
        <w:right w:val="single" w:sz="4" w:space="4" w:shadow="0" w:frame="0" w:color="auto"/>
        <w:between w:val="none" w:sz="0" w:space="0" w:shadow="0" w:frame="0" w:color="auto"/>
      </w:pBdr>
    </w:pPr>
    <w:rPr>
      <w:color w:val="auto"/>
      <w:sz w:val="22"/>
      <w:szCs w:val="22"/>
    </w:rPr>
  </w:style>
  <w:style w:type="paragraph" w:styleId="P6">
    <w:name w:val="Balloon Text"/>
    <w:basedOn w:val="P0"/>
    <w:link w:val="C8"/>
    <w:semiHidden/>
    <w:pPr>
      <w:spacing w:lineRule="auto" w:line="240" w:after="0" w:beforeAutospacing="0" w:afterAutospacing="0"/>
    </w:pPr>
    <w:rPr>
      <w:rFonts w:ascii="Tahoma" w:hAnsi="Tahoma" w:cs="Tahoma"/>
      <w:sz w:val="16"/>
      <w:szCs w:val="16"/>
    </w:rPr>
  </w:style>
  <w:style w:type="paragraph" w:styleId="P7">
    <w:name w:val="Header"/>
    <w:basedOn w:val="P0"/>
    <w:link w:val="C9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8">
    <w:name w:val="Footer"/>
    <w:basedOn w:val="P0"/>
    <w:link w:val="C1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9">
    <w:name w:val="Footnote Text"/>
    <w:link w:val="C12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0">
    <w:name w:val="Endnote Text"/>
    <w:link w:val="C14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2 Char"/>
    <w:basedOn w:val="C0"/>
    <w:link w:val="P2"/>
    <w:rPr>
      <w:rFonts w:asciiTheme="majorHAnsi" w:hAnsiTheme="majorHAnsi" w:cstheme="majorBidi" w:eastAsiaTheme="majorEastAsia"/>
      <w:color w:val="2E75B5" w:themeColor="accent1" w:themeShade="BF"/>
      <w:sz w:val="26"/>
      <w:szCs w:val="26"/>
    </w:rPr>
  </w:style>
  <w:style w:type="character" w:styleId="C4">
    <w:name w:val="Nadpis 1 Char"/>
    <w:basedOn w:val="C0"/>
    <w:link w:val="P1"/>
    <w:rPr>
      <w:rFonts w:asciiTheme="majorHAnsi" w:hAnsiTheme="majorHAnsi" w:cstheme="majorBidi" w:eastAsiaTheme="majorEastAsia"/>
      <w:color w:val="2E75B5" w:themeColor="accent1" w:themeShade="BF"/>
      <w:sz w:val="32"/>
      <w:szCs w:val="32"/>
    </w:rPr>
  </w:style>
  <w:style w:type="character" w:styleId="C5">
    <w:name w:val="Název Char"/>
    <w:basedOn w:val="C0"/>
    <w:link w:val="P3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6">
    <w:name w:val="Znak nadpisu 1"/>
    <w:basedOn w:val="C0"/>
    <w:link w:val="P4"/>
    <w:rPr>
      <w:rFonts w:asciiTheme="majorHAnsi" w:hAnsiTheme="majorHAnsi" w:cstheme="majorBidi" w:eastAsiaTheme="majorEastAsia"/>
      <w:caps w:val="1"/>
      <w:shd w:val="clear" w:color="auto" w:fill="D3D3D3"/>
      <w:kern w:val="20"/>
      <w:lang w:eastAsia="cs-CZ"/>
    </w:rPr>
  </w:style>
  <w:style w:type="character" w:styleId="C7">
    <w:name w:val="Frame Char"/>
    <w:basedOn w:val="C3"/>
    <w:link w:val="P5"/>
    <w:rPr>
      <w:rFonts w:asciiTheme="majorHAnsi" w:hAnsiTheme="majorHAnsi" w:cstheme="majorBidi" w:eastAsiaTheme="majorEastAsia"/>
      <w:color w:val="2E75B5" w:themeColor="accent1" w:themeShade="BF"/>
      <w:sz w:val="26"/>
      <w:szCs w:val="26"/>
    </w:rPr>
  </w:style>
  <w:style w:type="character" w:styleId="C8">
    <w:name w:val="Text bubliny Char"/>
    <w:basedOn w:val="C0"/>
    <w:link w:val="P6"/>
    <w:semiHidden/>
    <w:rPr>
      <w:rFonts w:ascii="Tahoma" w:hAnsi="Tahoma" w:cs="Tahoma"/>
      <w:sz w:val="16"/>
      <w:szCs w:val="16"/>
    </w:rPr>
  </w:style>
  <w:style w:type="character" w:styleId="C9">
    <w:name w:val="Záhlaví Char"/>
    <w:basedOn w:val="C0"/>
    <w:link w:val="P7"/>
    <w:rPr/>
  </w:style>
  <w:style w:type="character" w:styleId="C10">
    <w:name w:val="Zápatí Char"/>
    <w:basedOn w:val="C0"/>
    <w:link w:val="P8"/>
    <w:rPr/>
  </w:style>
  <w:style w:type="character" w:styleId="C11">
    <w:name w:val="Footnote Reference"/>
    <w:semiHidden/>
    <w:rPr>
      <w:vertAlign w:val="superscript"/>
    </w:rPr>
  </w:style>
  <w:style w:type="character" w:styleId="C12">
    <w:name w:val="Footnote Text Char"/>
    <w:link w:val="P9"/>
    <w:semiHidden/>
    <w:rPr>
      <w:sz w:val="20"/>
      <w:szCs w:val="20"/>
    </w:rPr>
  </w:style>
  <w:style w:type="character" w:styleId="C13">
    <w:name w:val="Endnote Reference"/>
    <w:semiHidden/>
    <w:rPr>
      <w:vertAlign w:val="superscript"/>
    </w:rPr>
  </w:style>
  <w:style w:type="character" w:styleId="C14">
    <w:name w:val="Endnote Text Char"/>
    <w:link w:val="P10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API/24.1.3.0</Application>
  <AppVersion>24.1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2019-10-02T13:29:00Z</dcterms:created>
  <dcterms:modified xsi:type="dcterms:W3CDTF">2025-05-08T20:21:33Z</dcterms:modified>
  <cp:revision>1</cp:revision>
</cp:coreProperties>
</file>